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577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350"/>
        <w:gridCol w:w="1226"/>
      </w:tblGrid>
      <w:tr>
        <w:trPr/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Broj poziva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01/2023</w:t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Minion Pro" w:hAnsi="Minion Pro" w:eastAsia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Minion Pro" w:hAnsi="Minion Pro"/>
          <w:color w:val="000000"/>
          <w:kern w:val="0"/>
          <w:sz w:val="24"/>
          <w:szCs w:val="24"/>
          <w:lang w:eastAsia="hr-HR"/>
          <w14:ligatures w14:val="none"/>
        </w:rPr>
        <w:t>KLASA:602-01/23-12/01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Minion Pro" w:hAnsi="Minion Pro"/>
          <w:color w:val="000000"/>
          <w:kern w:val="0"/>
          <w:sz w:val="24"/>
          <w:szCs w:val="24"/>
          <w:lang w:eastAsia="hr-HR"/>
          <w14:ligatures w14:val="none"/>
        </w:rPr>
        <w:t>URBROJ:251-459-23-01</w:t>
        <w:br/>
      </w:r>
    </w:p>
    <w:tbl>
      <w:tblPr>
        <w:tblW w:w="9636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7"/>
        <w:gridCol w:w="361"/>
        <w:gridCol w:w="2063"/>
        <w:gridCol w:w="1888"/>
        <w:gridCol w:w="1846"/>
        <w:gridCol w:w="351"/>
        <w:gridCol w:w="343"/>
        <w:gridCol w:w="472"/>
        <w:gridCol w:w="222"/>
        <w:gridCol w:w="224"/>
        <w:gridCol w:w="143"/>
        <w:gridCol w:w="288"/>
        <w:gridCol w:w="987"/>
      </w:tblGrid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Podaci o školi: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Upisati tražene podatke: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Naziv škole: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Osnovna škola Luka</w:t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Adresa: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Ul. Otona Ivekovića 16</w:t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Mjesto: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10360 Sesvete, Grad Zagreb</w:t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ured@os-luka-sesvete.skole.hr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2.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8. (osmoga)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razreda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3.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Tip putovanja: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Uz planirano upisati broj dana i noćenja: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Škola u prirodi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dana</w:t>
            </w:r>
          </w:p>
        </w:tc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noćenja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Dana </w:t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4 </w:t>
            </w:r>
          </w:p>
        </w:tc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3    </w:t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noćenja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Školska ekskurzija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dana</w:t>
            </w:r>
          </w:p>
        </w:tc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noćenja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Posjet</w:t>
            </w:r>
          </w:p>
        </w:tc>
        <w:tc>
          <w:tcPr>
            <w:tcW w:w="3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dana</w:t>
            </w:r>
          </w:p>
        </w:tc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noćenja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4.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Odredište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Upisati područje, ime/imena države/država: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Srednja Dalmacija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Država/e u inozemstvu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5.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10.-13.9.2023.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r>
          </w:p>
        </w:tc>
        <w:tc>
          <w:tcPr>
            <w:tcW w:w="431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kern w:val="0"/>
                <w:sz w:val="16"/>
                <w:szCs w:val="16"/>
                <w:lang w:eastAsia="hr-HR"/>
                <w14:ligatures w14:val="none"/>
              </w:rPr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Mjesec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Datum</w:t>
            </w:r>
          </w:p>
        </w:tc>
        <w:tc>
          <w:tcPr>
            <w:tcW w:w="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Mjesec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Godina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Broj sudionika: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Upisati broj: 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112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105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 mogućnošću odstupanja za tri učenika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7.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Plan puta: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Upisati traženo: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Mjesto polaska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Sesvete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Sokolarski centar, Trogir, Split, Šibenik, Sinj, NP Krka, Etnoland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Vrsta prijevoza: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Traženo označiti s X ili dopisati kombinacije: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Vlak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Brod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Zrakoplov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e)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Kombinirani prijevoz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9.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Smještaj i prehrana: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Označiti s X ili dopisati traženo: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Hostel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Hotel, ako je moguće: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☐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bliže centru grada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(Ime grada/gradova)  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☐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(Ime grada/gradova)     </w:t>
            </w:r>
            <w:r>
              <w:rPr>
                <w:rFonts w:eastAsia="Times New Roman" w:cs="Times New Roman" w:ascii="Minion Pro" w:hAnsi="Minion Pro"/>
                <w:b/>
                <w:bCs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Trogir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☐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(Ime grada/gradova)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 w:val="false"/>
                <w:b w:val="false"/>
                <w:bCs w:val="false"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 w:val="false"/>
                <w:bCs w:val="false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Pansion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e)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f)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10.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Ulaznice za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Sokolarski centar, Muzej Sinjske alke, NP Krka, Etnoland, Šibenska tvrđava, Šibenik – katedrala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- 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animatori, animacijske radionice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- sportske, društvene, zabavne radionice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-kupanje (plivanje)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Split, Šibenik, Trogir, Sinj 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(sva 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navedena odredišta)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11.</w:t>
            </w:r>
          </w:p>
        </w:tc>
        <w:tc>
          <w:tcPr>
            <w:tcW w:w="6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Traženo označiti s X ili dopisati (za br. 12):</w:t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a)</w:t>
            </w:r>
          </w:p>
        </w:tc>
        <w:tc>
          <w:tcPr>
            <w:tcW w:w="61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b)</w:t>
            </w:r>
          </w:p>
        </w:tc>
        <w:tc>
          <w:tcPr>
            <w:tcW w:w="61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c)</w:t>
            </w:r>
          </w:p>
        </w:tc>
        <w:tc>
          <w:tcPr>
            <w:tcW w:w="61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bCs/>
                <w:color w:val="231F20"/>
                <w:kern w:val="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otkaza putovanja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d)</w:t>
            </w:r>
          </w:p>
        </w:tc>
        <w:tc>
          <w:tcPr>
            <w:tcW w:w="61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e)</w:t>
            </w:r>
          </w:p>
        </w:tc>
        <w:tc>
          <w:tcPr>
            <w:tcW w:w="61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</w:tr>
      <w:tr>
        <w:trPr/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12. Dostava ponuda:</w:t>
            </w:r>
          </w:p>
        </w:tc>
      </w:tr>
      <w:tr>
        <w:trPr/>
        <w:tc>
          <w:tcPr>
            <w:tcW w:w="2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Rok dostave ponuda je  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9.12.2023. </w:t>
            </w:r>
          </w:p>
        </w:tc>
        <w:tc>
          <w:tcPr>
            <w:tcW w:w="6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godine do 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__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12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_ 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sati.</w:t>
            </w:r>
          </w:p>
        </w:tc>
      </w:tr>
      <w:tr>
        <w:trPr/>
        <w:tc>
          <w:tcPr>
            <w:tcW w:w="6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Razmatranje ponuda održat će se u školi dana  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14.12.2023.</w:t>
            </w:r>
          </w:p>
        </w:tc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U 18: 20 </w:t>
            </w:r>
            <w:r>
              <w:rPr>
                <w:rFonts w:eastAsia="Times New Roman" w:cs="Times New Roman" w:ascii="Minion Pro" w:hAnsi="Minion Pro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 sati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hr-HR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1. Prije potpisivanja ugovora za ponudu odabrani davatelj usluga dužan je dostaviti ili dati školi na uvid: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2. Mjesec dana prije realizacije ugovora odabrani davatelj usluga dužan je dostaviti ili dati školi na uvid: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a) dokaz o osiguranju jamčevine za slučaj nesolventnosti (za višednevnu ekskurziju ili višednevnu terensku nastavu),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Minion Pro" w:hAnsi="Minion Pro"/>
          <w:i/>
          <w:iCs/>
          <w:color w:val="231F20"/>
          <w:kern w:val="0"/>
          <w:sz w:val="24"/>
          <w:szCs w:val="24"/>
          <w:lang w:eastAsia="hr-HR"/>
          <w14:ligatures w14:val="none"/>
        </w:rPr>
        <w:t>Napomena: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1) Pristigle ponude trebaju sadržavati i u cijenu uključivati: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a) prijevoz sudionika isključivo prijevoznim sredstvima koji udovoljavaju propisima,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b) osiguranje odgovornosti i jamčevine.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2) Ponude trebaju biti: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b) razrađene prema traženim točkama i s iskazanom ukupnom cijenom za pojedinog učenika.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shd w:val="clear" w:color="auto" w:fill="FFFFFF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="Times New Roman" w:ascii="Times New Roman" w:hAnsi="Times New Roman"/>
          <w:color w:val="231F20"/>
          <w:kern w:val="0"/>
          <w:sz w:val="24"/>
          <w:szCs w:val="24"/>
          <w:lang w:eastAsia="hr-HR"/>
          <w14:ligatures w14:val="none"/>
        </w:rPr>
        <w:t>5) Potencijalni davatelj usluga ne može dopisivati i nuditi dodatne pogodnosti.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4</Pages>
  <Words>757</Words>
  <Characters>4472</Characters>
  <CharactersWithSpaces>5144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2023-11-29T10:34:00Z</dcterms:created>
  <dc:creator>Mihaela Azapović-Štimac</dc:creator>
  <dc:description/>
  <dc:language>hr-HR</dc:language>
  <cp:lastModifiedBy/>
  <dcterms:modified xsi:type="dcterms:W3CDTF">2023-11-30T17:29:08Z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